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rPr>
        <w:t>LIGUE DU DROIT INTERNATIONAL DES FEMMES</w:t>
      </w:r>
    </w:p>
    <w:p>
      <w:pPr>
        <w:pStyle w:val="style0"/>
        <w:jc w:val="center"/>
      </w:pPr>
      <w:r>
        <w:rPr>
          <w:sz w:val="20"/>
          <w:szCs w:val="20"/>
        </w:rPr>
        <w:t>Association créée par Simone de Beauvoir</w:t>
      </w:r>
    </w:p>
    <w:p>
      <w:pPr>
        <w:pStyle w:val="style33"/>
        <w:jc w:val="center"/>
      </w:pPr>
      <w:r>
        <w:rPr>
          <w:sz w:val="20"/>
          <w:szCs w:val="20"/>
        </w:rPr>
        <w:t>6 Place Saint-Germain des Prés, 75006 Paris</w:t>
      </w:r>
    </w:p>
    <w:p>
      <w:pPr>
        <w:pStyle w:val="style0"/>
      </w:pPr>
      <w:r>
        <w:rPr/>
      </w:r>
    </w:p>
    <w:p>
      <w:pPr>
        <w:pStyle w:val="style0"/>
        <w:jc w:val="center"/>
      </w:pPr>
      <w:r>
        <w:rPr>
          <w:b/>
          <w:bCs/>
        </w:rPr>
        <w:t>COORDINATION FRANCAISE POUR LE LOBBY EUROPEEN DES FEMMES,</w:t>
      </w:r>
    </w:p>
    <w:p>
      <w:pPr>
        <w:pStyle w:val="style0"/>
        <w:jc w:val="center"/>
      </w:pPr>
      <w:r>
        <w:rPr/>
        <w:t>6 rue de la Rochefoucauld, 75009, Paris</w:t>
      </w:r>
    </w:p>
    <w:p>
      <w:pPr>
        <w:pStyle w:val="style0"/>
      </w:pPr>
      <w:r>
        <w:rPr/>
      </w:r>
    </w:p>
    <w:p>
      <w:pPr>
        <w:pStyle w:val="style0"/>
      </w:pPr>
      <w:r>
        <w:rPr/>
      </w:r>
    </w:p>
    <w:p>
      <w:pPr>
        <w:pStyle w:val="style0"/>
        <w:jc w:val="center"/>
      </w:pPr>
      <w:r>
        <w:rPr>
          <w:b/>
          <w:bCs/>
          <w:sz w:val="32"/>
          <w:szCs w:val="32"/>
        </w:rPr>
        <w:t>Communiqué</w:t>
      </w:r>
    </w:p>
    <w:p>
      <w:pPr>
        <w:pStyle w:val="style0"/>
        <w:jc w:val="right"/>
      </w:pPr>
      <w:r>
        <w:rPr/>
        <w:t xml:space="preserve"> </w:t>
      </w:r>
      <w:r>
        <w:rPr/>
        <w:t>Paris le 8 janvier 2014</w:t>
      </w:r>
    </w:p>
    <w:p>
      <w:pPr>
        <w:pStyle w:val="style0"/>
        <w:jc w:val="both"/>
      </w:pPr>
      <w:r>
        <w:rPr/>
      </w:r>
    </w:p>
    <w:p>
      <w:pPr>
        <w:pStyle w:val="style0"/>
        <w:jc w:val="center"/>
      </w:pPr>
      <w:r>
        <w:rPr>
          <w:b/>
          <w:bCs/>
          <w:sz w:val="30"/>
          <w:szCs w:val="30"/>
        </w:rPr>
        <w:t>L’accès libre à l'IVG doit être un droit fondamental des européennes.</w:t>
      </w:r>
    </w:p>
    <w:p>
      <w:pPr>
        <w:pStyle w:val="style0"/>
        <w:jc w:val="both"/>
      </w:pPr>
      <w:r>
        <w:rPr>
          <w:b/>
          <w:bCs/>
          <w:sz w:val="30"/>
          <w:szCs w:val="30"/>
        </w:rPr>
      </w:r>
    </w:p>
    <w:p>
      <w:pPr>
        <w:pStyle w:val="style0"/>
        <w:jc w:val="both"/>
      </w:pPr>
      <w:r>
        <w:rPr>
          <w:b/>
          <w:bCs/>
        </w:rPr>
        <w:t>Sous la pression des forces les plus rétrogrades qui s'opposent à la liberté des femmes de disposer de leur corps, deux reculs majeurs viennent de se produire en Europe :</w:t>
      </w:r>
    </w:p>
    <w:p>
      <w:pPr>
        <w:pStyle w:val="style0"/>
        <w:numPr>
          <w:ilvl w:val="0"/>
          <w:numId w:val="1"/>
        </w:numPr>
        <w:spacing w:after="0" w:before="120"/>
        <w:contextualSpacing w:val="false"/>
        <w:jc w:val="both"/>
      </w:pPr>
      <w:r>
        <w:rPr/>
        <w:t>l'approbation par le gouvernement espagnol d'un projet de loi supprimant la liberté de l'avortement dans un pays que l’on croyait exemplaire dans sa lutte pour l'égalité et contre les violences faites aux femmes.</w:t>
      </w:r>
    </w:p>
    <w:p>
      <w:pPr>
        <w:pStyle w:val="style0"/>
        <w:numPr>
          <w:ilvl w:val="0"/>
          <w:numId w:val="1"/>
        </w:numPr>
        <w:spacing w:after="0" w:before="120"/>
        <w:contextualSpacing w:val="false"/>
        <w:jc w:val="both"/>
      </w:pPr>
      <w:r>
        <w:rPr/>
        <w:t>le rejet par le Parlement Européen : d’une résolution sur « </w:t>
      </w:r>
      <w:r>
        <w:rPr>
          <w:i/>
          <w:iCs/>
        </w:rPr>
        <w:t>la santé et les droits sexuels et génésiques </w:t>
      </w:r>
      <w:r>
        <w:rPr/>
        <w:t>», alors qu'en 2002 cette même instance avait approuvé une résolution semblable recommandant la dépénalisation de l'avortement dans l’UE.</w:t>
      </w:r>
    </w:p>
    <w:p>
      <w:pPr>
        <w:pStyle w:val="style0"/>
        <w:jc w:val="both"/>
      </w:pPr>
      <w:r>
        <w:rPr/>
      </w:r>
    </w:p>
    <w:p>
      <w:pPr>
        <w:pStyle w:val="style0"/>
        <w:jc w:val="both"/>
      </w:pPr>
      <w:r>
        <w:rPr/>
        <w:t>Le principe de subsidiarité ne doit pas s'appliquer lorsqu'il s'agit de respecter un droit touchant à l'autonomie des femmes et donc à leur dignité, valeur première de la citoyenneté européenne.</w:t>
      </w:r>
    </w:p>
    <w:p>
      <w:pPr>
        <w:pStyle w:val="style0"/>
        <w:jc w:val="both"/>
      </w:pPr>
      <w:r>
        <w:rPr/>
      </w:r>
    </w:p>
    <w:p>
      <w:pPr>
        <w:pStyle w:val="style0"/>
        <w:jc w:val="both"/>
      </w:pPr>
      <w:r>
        <w:rPr/>
        <w:t>Nous exigeons :</w:t>
      </w:r>
    </w:p>
    <w:p>
      <w:pPr>
        <w:pStyle w:val="style0"/>
        <w:numPr>
          <w:ilvl w:val="0"/>
          <w:numId w:val="2"/>
        </w:numPr>
        <w:spacing w:after="0" w:before="120"/>
        <w:contextualSpacing w:val="false"/>
        <w:jc w:val="both"/>
      </w:pPr>
      <w:r>
        <w:rPr/>
        <w:t>pour toutes les Européennes, l’accès libre et gratuit aux services d'IVG.</w:t>
      </w:r>
    </w:p>
    <w:p>
      <w:pPr>
        <w:pStyle w:val="style0"/>
        <w:numPr>
          <w:ilvl w:val="0"/>
          <w:numId w:val="2"/>
        </w:numPr>
        <w:spacing w:after="0" w:before="120"/>
        <w:contextualSpacing w:val="false"/>
        <w:jc w:val="both"/>
      </w:pPr>
      <w:r>
        <w:rPr/>
        <w:t xml:space="preserve">que les </w:t>
      </w:r>
      <w:r>
        <w:rPr>
          <w:i/>
          <w:iCs/>
        </w:rPr>
        <w:t>droits sexuels et génésiques y compris le droit à l'IVG</w:t>
      </w:r>
      <w:r>
        <w:rPr/>
        <w:t xml:space="preserve"> , soient reconnus comme droits fondamentaux, alors qu'ils sont totalement absents de la </w:t>
      </w:r>
      <w:r>
        <w:rPr>
          <w:i/>
          <w:iCs/>
        </w:rPr>
        <w:t xml:space="preserve">Charte des droits fondamentaux de l'UE </w:t>
      </w:r>
      <w:r>
        <w:rPr/>
        <w:t>incorporée dans le Traité de Lisbonne.</w:t>
      </w:r>
    </w:p>
    <w:p>
      <w:pPr>
        <w:pStyle w:val="style0"/>
        <w:jc w:val="both"/>
      </w:pPr>
      <w:r>
        <w:rPr/>
      </w:r>
    </w:p>
    <w:p>
      <w:pPr>
        <w:pStyle w:val="style0"/>
        <w:jc w:val="both"/>
      </w:pPr>
      <w:r>
        <w:rPr/>
        <w:t>Afin de soutenir les Espagnoles, mobilisons-nous devant les ambassades et les consulats d'Espagne en Europe.</w:t>
      </w:r>
    </w:p>
    <w:p>
      <w:pPr>
        <w:pStyle w:val="style0"/>
        <w:jc w:val="both"/>
      </w:pPr>
      <w:r>
        <w:rPr/>
      </w:r>
    </w:p>
    <w:p>
      <w:pPr>
        <w:pStyle w:val="style0"/>
        <w:jc w:val="both"/>
      </w:pPr>
      <w:r>
        <w:rPr>
          <w:b/>
          <w:bCs/>
        </w:rPr>
        <w:t>Contact</w:t>
      </w:r>
      <w:r>
        <w:rPr/>
        <w:t> : Annie Sugier 06 38 39 42 92</w:t>
      </w:r>
    </w:p>
    <w:p>
      <w:pPr>
        <w:pStyle w:val="style0"/>
        <w:jc w:val="both"/>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OpenSymbol">
    <w:altName w:val="Arial Unicode MS"/>
    <w:charset w:val="80"/>
    <w:family w:val="auto"/>
    <w:pitch w:val="default"/>
  </w:font>
  <w:font w:name="Cambria">
    <w:charset w:val="00"/>
    <w:family w:val="roman"/>
    <w:pitch w:val="variable"/>
  </w:font>
  <w:font w:name="Arial">
    <w:charset w:val="00"/>
    <w:family w:val="roman"/>
    <w:pitch w:val="variable"/>
  </w:font>
  <w:font w:name="Tahoma">
    <w:charset w:val="00"/>
    <w:family w:val="roman"/>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tabs>
          <w:tab w:pos="284" w:val="num"/>
        </w:tabs>
        <w:ind w:hanging="284" w:left="284"/>
      </w:pPr>
      <w:rPr>
        <w:rFonts w:ascii="Symbol" w:cs="Symbol" w:hAnsi="Symbol" w:hint="default"/>
        <w:color w:val="000000"/>
      </w:rPr>
    </w:lvl>
    <w:lvl w:ilvl="1">
      <w:start w:val="1"/>
      <w:numFmt w:val="bullet"/>
      <w:lvlText w:val="o"/>
      <w:lvlJc w:val="left"/>
      <w:pPr>
        <w:tabs>
          <w:tab w:pos="873" w:val="num"/>
        </w:tabs>
        <w:ind w:hanging="360" w:left="873"/>
      </w:pPr>
      <w:rPr>
        <w:rFonts w:ascii="Courier New" w:cs="Courier New" w:hAnsi="Courier New" w:hint="default"/>
      </w:rPr>
    </w:lvl>
    <w:lvl w:ilvl="2">
      <w:start w:val="1"/>
      <w:numFmt w:val="bullet"/>
      <w:lvlText w:val=""/>
      <w:lvlJc w:val="left"/>
      <w:pPr>
        <w:tabs>
          <w:tab w:pos="1593" w:val="num"/>
        </w:tabs>
        <w:ind w:hanging="360" w:left="1593"/>
      </w:pPr>
      <w:rPr>
        <w:rFonts w:ascii="Wingdings" w:cs="Wingdings" w:hAnsi="Wingdings" w:hint="default"/>
      </w:rPr>
    </w:lvl>
    <w:lvl w:ilvl="3">
      <w:start w:val="1"/>
      <w:numFmt w:val="bullet"/>
      <w:lvlText w:val=""/>
      <w:lvlJc w:val="left"/>
      <w:pPr>
        <w:tabs>
          <w:tab w:pos="2313" w:val="num"/>
        </w:tabs>
        <w:ind w:hanging="360" w:left="2313"/>
      </w:pPr>
      <w:rPr>
        <w:rFonts w:ascii="Symbol" w:cs="Symbol" w:hAnsi="Symbol" w:hint="default"/>
      </w:rPr>
    </w:lvl>
    <w:lvl w:ilvl="4">
      <w:start w:val="1"/>
      <w:numFmt w:val="bullet"/>
      <w:lvlText w:val="o"/>
      <w:lvlJc w:val="left"/>
      <w:pPr>
        <w:tabs>
          <w:tab w:pos="3033" w:val="num"/>
        </w:tabs>
        <w:ind w:hanging="360" w:left="3033"/>
      </w:pPr>
      <w:rPr>
        <w:rFonts w:ascii="Courier New" w:cs="Courier New" w:hAnsi="Courier New" w:hint="default"/>
      </w:rPr>
    </w:lvl>
    <w:lvl w:ilvl="5">
      <w:start w:val="1"/>
      <w:numFmt w:val="bullet"/>
      <w:lvlText w:val=""/>
      <w:lvlJc w:val="left"/>
      <w:pPr>
        <w:tabs>
          <w:tab w:pos="3753" w:val="num"/>
        </w:tabs>
        <w:ind w:hanging="360" w:left="3753"/>
      </w:pPr>
      <w:rPr>
        <w:rFonts w:ascii="Wingdings" w:cs="Wingdings" w:hAnsi="Wingdings" w:hint="default"/>
      </w:rPr>
    </w:lvl>
    <w:lvl w:ilvl="6">
      <w:start w:val="1"/>
      <w:numFmt w:val="bullet"/>
      <w:lvlText w:val=""/>
      <w:lvlJc w:val="left"/>
      <w:pPr>
        <w:tabs>
          <w:tab w:pos="4473" w:val="num"/>
        </w:tabs>
        <w:ind w:hanging="360" w:left="4473"/>
      </w:pPr>
      <w:rPr>
        <w:rFonts w:ascii="Symbol" w:cs="Symbol" w:hAnsi="Symbol" w:hint="default"/>
      </w:rPr>
    </w:lvl>
    <w:lvl w:ilvl="7">
      <w:start w:val="1"/>
      <w:numFmt w:val="bullet"/>
      <w:lvlText w:val="o"/>
      <w:lvlJc w:val="left"/>
      <w:pPr>
        <w:tabs>
          <w:tab w:pos="5193" w:val="num"/>
        </w:tabs>
        <w:ind w:hanging="360" w:left="5193"/>
      </w:pPr>
      <w:rPr>
        <w:rFonts w:ascii="Courier New" w:cs="Courier New" w:hAnsi="Courier New" w:hint="default"/>
      </w:rPr>
    </w:lvl>
    <w:lvl w:ilvl="8">
      <w:start w:val="1"/>
      <w:numFmt w:val="bullet"/>
      <w:lvlText w:val=""/>
      <w:lvlJc w:val="left"/>
      <w:pPr>
        <w:tabs>
          <w:tab w:pos="5913" w:val="num"/>
        </w:tabs>
        <w:ind w:hanging="360" w:left="5913"/>
      </w:pPr>
      <w:rPr>
        <w:rFonts w:ascii="Wingdings" w:cs="Wingdings" w:hAnsi="Wingdings" w:hint="default"/>
      </w:rPr>
    </w:lvl>
  </w:abstractNum>
  <w:abstractNum w:abstractNumId="2">
    <w:lvl w:ilvl="0">
      <w:start w:val="1"/>
      <w:numFmt w:val="bullet"/>
      <w:lvlText w:val=""/>
      <w:lvlJc w:val="left"/>
      <w:pPr>
        <w:tabs>
          <w:tab w:pos="284" w:val="num"/>
        </w:tabs>
        <w:ind w:hanging="284" w:left="284"/>
      </w:pPr>
      <w:rPr>
        <w:rFonts w:ascii="Symbol" w:cs="Symbol" w:hAnsi="Symbol" w:hint="default"/>
        <w:color w:val="000000"/>
      </w:rPr>
    </w:lvl>
    <w:lvl w:ilvl="1">
      <w:start w:val="1"/>
      <w:numFmt w:val="bullet"/>
      <w:lvlText w:val="o"/>
      <w:lvlJc w:val="left"/>
      <w:pPr>
        <w:tabs>
          <w:tab w:pos="873" w:val="num"/>
        </w:tabs>
        <w:ind w:hanging="360" w:left="873"/>
      </w:pPr>
      <w:rPr>
        <w:rFonts w:ascii="Courier New" w:cs="Courier New" w:hAnsi="Courier New" w:hint="default"/>
      </w:rPr>
    </w:lvl>
    <w:lvl w:ilvl="2">
      <w:start w:val="1"/>
      <w:numFmt w:val="bullet"/>
      <w:lvlText w:val=""/>
      <w:lvlJc w:val="left"/>
      <w:pPr>
        <w:tabs>
          <w:tab w:pos="1593" w:val="num"/>
        </w:tabs>
        <w:ind w:hanging="360" w:left="1593"/>
      </w:pPr>
      <w:rPr>
        <w:rFonts w:ascii="Wingdings" w:cs="Wingdings" w:hAnsi="Wingdings" w:hint="default"/>
      </w:rPr>
    </w:lvl>
    <w:lvl w:ilvl="3">
      <w:start w:val="1"/>
      <w:numFmt w:val="bullet"/>
      <w:lvlText w:val=""/>
      <w:lvlJc w:val="left"/>
      <w:pPr>
        <w:tabs>
          <w:tab w:pos="2313" w:val="num"/>
        </w:tabs>
        <w:ind w:hanging="360" w:left="2313"/>
      </w:pPr>
      <w:rPr>
        <w:rFonts w:ascii="Symbol" w:cs="Symbol" w:hAnsi="Symbol" w:hint="default"/>
      </w:rPr>
    </w:lvl>
    <w:lvl w:ilvl="4">
      <w:start w:val="1"/>
      <w:numFmt w:val="bullet"/>
      <w:lvlText w:val="o"/>
      <w:lvlJc w:val="left"/>
      <w:pPr>
        <w:tabs>
          <w:tab w:pos="3033" w:val="num"/>
        </w:tabs>
        <w:ind w:hanging="360" w:left="3033"/>
      </w:pPr>
      <w:rPr>
        <w:rFonts w:ascii="Courier New" w:cs="Courier New" w:hAnsi="Courier New" w:hint="default"/>
      </w:rPr>
    </w:lvl>
    <w:lvl w:ilvl="5">
      <w:start w:val="1"/>
      <w:numFmt w:val="bullet"/>
      <w:lvlText w:val=""/>
      <w:lvlJc w:val="left"/>
      <w:pPr>
        <w:tabs>
          <w:tab w:pos="3753" w:val="num"/>
        </w:tabs>
        <w:ind w:hanging="360" w:left="3753"/>
      </w:pPr>
      <w:rPr>
        <w:rFonts w:ascii="Wingdings" w:cs="Wingdings" w:hAnsi="Wingdings" w:hint="default"/>
      </w:rPr>
    </w:lvl>
    <w:lvl w:ilvl="6">
      <w:start w:val="1"/>
      <w:numFmt w:val="bullet"/>
      <w:lvlText w:val=""/>
      <w:lvlJc w:val="left"/>
      <w:pPr>
        <w:tabs>
          <w:tab w:pos="4473" w:val="num"/>
        </w:tabs>
        <w:ind w:hanging="360" w:left="4473"/>
      </w:pPr>
      <w:rPr>
        <w:rFonts w:ascii="Symbol" w:cs="Symbol" w:hAnsi="Symbol" w:hint="default"/>
      </w:rPr>
    </w:lvl>
    <w:lvl w:ilvl="7">
      <w:start w:val="1"/>
      <w:numFmt w:val="bullet"/>
      <w:lvlText w:val="o"/>
      <w:lvlJc w:val="left"/>
      <w:pPr>
        <w:tabs>
          <w:tab w:pos="5193" w:val="num"/>
        </w:tabs>
        <w:ind w:hanging="360" w:left="5193"/>
      </w:pPr>
      <w:rPr>
        <w:rFonts w:ascii="Courier New" w:cs="Courier New" w:hAnsi="Courier New" w:hint="default"/>
      </w:rPr>
    </w:lvl>
    <w:lvl w:ilvl="8">
      <w:start w:val="1"/>
      <w:numFmt w:val="bullet"/>
      <w:lvlText w:val=""/>
      <w:lvlJc w:val="left"/>
      <w:pPr>
        <w:tabs>
          <w:tab w:pos="5913" w:val="num"/>
        </w:tabs>
        <w:ind w:hanging="360" w:left="5913"/>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9"/>
</w:settings>
</file>

<file path=word/styles.xml><?xml version="1.0" encoding="utf-8"?>
<w:styles xmlns:w="http://schemas.openxmlformats.org/wordprocessingml/2006/main">
  <w:style w:styleId="style0" w:type="paragraph">
    <w:name w:val="Style par défaut"/>
    <w:next w:val="style0"/>
    <w:pPr>
      <w:widowControl w:val="false"/>
      <w:suppressAutoHyphens w:val="true"/>
    </w:pPr>
    <w:rPr>
      <w:rFonts w:ascii="Times New Roman" w:cs="Calibri" w:eastAsia="SimSun" w:hAnsi="Times New Roman"/>
      <w:color w:val="auto"/>
      <w:sz w:val="24"/>
      <w:szCs w:val="24"/>
      <w:lang w:bidi="ar-SA" w:eastAsia="zh-CN" w:val="fr-FR"/>
    </w:rPr>
  </w:style>
  <w:style w:styleId="style15" w:type="character">
    <w:name w:val="Default Paragraph Font"/>
    <w:next w:val="style15"/>
    <w:rPr/>
  </w:style>
  <w:style w:styleId="style16" w:type="character">
    <w:name w:val="Puces"/>
    <w:next w:val="style16"/>
    <w:rPr>
      <w:rFonts w:ascii="OpenSymbol" w:cs="OpenSymbol" w:eastAsia="OpenSymbol" w:hAnsi="OpenSymbol"/>
    </w:rPr>
  </w:style>
  <w:style w:styleId="style17" w:type="character">
    <w:name w:val="Title Char"/>
    <w:basedOn w:val="style15"/>
    <w:next w:val="style17"/>
    <w:rPr>
      <w:rFonts w:ascii="Cambria" w:cs="Cambria" w:hAnsi="Cambria"/>
      <w:b/>
      <w:bCs/>
      <w:sz w:val="32"/>
      <w:szCs w:val="32"/>
    </w:rPr>
  </w:style>
  <w:style w:styleId="style18" w:type="character">
    <w:name w:val="Body Text Char"/>
    <w:basedOn w:val="style15"/>
    <w:next w:val="style18"/>
    <w:rPr/>
  </w:style>
  <w:style w:styleId="style19" w:type="character">
    <w:name w:val="Balloon Text Char"/>
    <w:basedOn w:val="style15"/>
    <w:next w:val="style19"/>
    <w:rPr>
      <w:rFonts w:ascii="Times New Roman" w:cs="Times New Roman" w:hAnsi="Times New Roman"/>
      <w:sz w:val="2"/>
      <w:szCs w:val="2"/>
    </w:rPr>
  </w:style>
  <w:style w:styleId="style20" w:type="character">
    <w:name w:val="ListLabel 1"/>
    <w:next w:val="style20"/>
    <w:rPr>
      <w:rFonts w:cs="Symbol"/>
    </w:rPr>
  </w:style>
  <w:style w:styleId="style21" w:type="character">
    <w:name w:val="ListLabel 2"/>
    <w:next w:val="style21"/>
    <w:rPr>
      <w:rFonts w:eastAsia="OpenSymbol"/>
    </w:rPr>
  </w:style>
  <w:style w:styleId="style22" w:type="character">
    <w:name w:val="ListLabel 3"/>
    <w:next w:val="style22"/>
    <w:rPr>
      <w:rFonts w:cs="Symbol"/>
      <w:color w:val="000000"/>
    </w:rPr>
  </w:style>
  <w:style w:styleId="style23" w:type="character">
    <w:name w:val="ListLabel 4"/>
    <w:next w:val="style23"/>
    <w:rPr>
      <w:rFonts w:cs="Courier New"/>
    </w:rPr>
  </w:style>
  <w:style w:styleId="style24" w:type="character">
    <w:name w:val="ListLabel 5"/>
    <w:next w:val="style24"/>
    <w:rPr>
      <w:rFonts w:cs="Wingdings"/>
    </w:rPr>
  </w:style>
  <w:style w:styleId="style25" w:type="paragraph">
    <w:name w:val="Titre"/>
    <w:basedOn w:val="style0"/>
    <w:next w:val="style26"/>
    <w:pPr>
      <w:keepNext/>
      <w:spacing w:after="120" w:before="240"/>
      <w:contextualSpacing w:val="false"/>
    </w:pPr>
    <w:rPr>
      <w:rFonts w:ascii="Arial" w:cs="Mangal" w:eastAsia="Microsoft YaHei" w:hAnsi="Arial"/>
      <w:sz w:val="28"/>
      <w:szCs w:val="28"/>
    </w:rPr>
  </w:style>
  <w:style w:styleId="style26" w:type="paragraph">
    <w:name w:val="Corps de texte"/>
    <w:basedOn w:val="style0"/>
    <w:next w:val="style26"/>
    <w:pPr>
      <w:spacing w:after="120" w:before="0"/>
      <w:contextualSpacing w:val="false"/>
    </w:pPr>
    <w:rPr/>
  </w:style>
  <w:style w:styleId="style27" w:type="paragraph">
    <w:name w:val="Liste"/>
    <w:basedOn w:val="style26"/>
    <w:next w:val="style27"/>
    <w:pPr/>
    <w:rPr>
      <w:rFonts w:cs="Mangal"/>
    </w:rPr>
  </w:style>
  <w:style w:styleId="style28" w:type="paragraph">
    <w:name w:val="Légende"/>
    <w:basedOn w:val="style0"/>
    <w:next w:val="style28"/>
    <w:pPr>
      <w:suppressLineNumbers/>
      <w:spacing w:after="120" w:before="120"/>
      <w:contextualSpacing w:val="false"/>
    </w:pPr>
    <w:rPr>
      <w:rFonts w:cs="Mangal"/>
      <w:i/>
      <w:iCs/>
      <w:sz w:val="24"/>
      <w:szCs w:val="24"/>
    </w:rPr>
  </w:style>
  <w:style w:styleId="style29" w:type="paragraph">
    <w:name w:val="Index"/>
    <w:basedOn w:val="style0"/>
    <w:next w:val="style29"/>
    <w:pPr>
      <w:suppressLineNumbers/>
    </w:pPr>
    <w:rPr>
      <w:rFonts w:cs="Mangal"/>
    </w:rPr>
  </w:style>
  <w:style w:styleId="style30" w:type="paragraph">
    <w:name w:val="Titre principal"/>
    <w:basedOn w:val="style0"/>
    <w:next w:val="style30"/>
    <w:pPr>
      <w:keepNext/>
      <w:spacing w:after="120" w:before="240"/>
      <w:contextualSpacing w:val="false"/>
    </w:pPr>
    <w:rPr>
      <w:rFonts w:ascii="Arial" w:cs="Arial" w:eastAsia="Times New Roman" w:hAnsi="Arial"/>
      <w:sz w:val="28"/>
      <w:szCs w:val="28"/>
    </w:rPr>
  </w:style>
  <w:style w:styleId="style31" w:type="paragraph">
    <w:name w:val="caption"/>
    <w:basedOn w:val="style0"/>
    <w:next w:val="style31"/>
    <w:pPr>
      <w:suppressLineNumbers/>
      <w:spacing w:after="120" w:before="120"/>
      <w:contextualSpacing w:val="false"/>
    </w:pPr>
    <w:rPr>
      <w:i/>
      <w:iCs/>
    </w:rPr>
  </w:style>
  <w:style w:styleId="style32" w:type="paragraph">
    <w:name w:val="Citation"/>
    <w:basedOn w:val="style0"/>
    <w:next w:val="style32"/>
    <w:pPr>
      <w:spacing w:after="283" w:before="0"/>
      <w:ind w:hanging="0" w:left="567" w:right="567"/>
      <w:contextualSpacing w:val="false"/>
    </w:pPr>
    <w:rPr/>
  </w:style>
  <w:style w:styleId="style33" w:type="paragraph">
    <w:name w:val="Normal (Web)1"/>
    <w:basedOn w:val="style0"/>
    <w:next w:val="style33"/>
    <w:pPr/>
    <w:rPr/>
  </w:style>
  <w:style w:styleId="style34" w:type="paragraph">
    <w:name w:val="Balloon Text"/>
    <w:basedOn w:val="style0"/>
    <w:next w:val="style34"/>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Normal_Wordconv</Template>
  <TotalTime>10</TotalTime>
  <Application>Microsoft Office Outlook</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2014-01-08T16:06:00.00Z</dcterms:created>
  <dc:creator> Françoise BELLOT</dc:creator>
  <cp:lastModifiedBy> Françoise BELLOT</cp:lastModifiedBy>
  <dcterms:modified xsi:type="dcterms:W3CDTF">2014-01-08T16:10:00.00Z</dcterms:modified>
  <cp:revision>3</cp:revision>
  <dc:title>                      LIGUE DU DROIT INTERNATIONAL DES FEMMES</dc:title>
</cp:coreProperties>
</file>